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3AD24775" w:rsidR="00C32E34" w:rsidRPr="009D1F3B" w:rsidRDefault="00B82077" w:rsidP="009657B8">
            <w:pPr>
              <w:rPr>
                <w:rFonts w:cstheme="minorHAnsi"/>
                <w:color w:val="000000" w:themeColor="text1"/>
                <w:lang w:val="en-US"/>
              </w:rPr>
            </w:pPr>
            <w:r>
              <w:rPr>
                <w:rFonts w:cstheme="minorHAnsi"/>
                <w:color w:val="000000" w:themeColor="text1"/>
                <w:lang w:val="en-US"/>
              </w:rPr>
              <w:t>Micronutrient deficiency</w:t>
            </w:r>
          </w:p>
        </w:tc>
        <w:tc>
          <w:tcPr>
            <w:tcW w:w="4449" w:type="dxa"/>
          </w:tcPr>
          <w:p w14:paraId="0BC73C5D" w14:textId="73B0292B" w:rsidR="00C32E34" w:rsidRPr="009D1F3B" w:rsidRDefault="00B82077" w:rsidP="009657B8">
            <w:pPr>
              <w:rPr>
                <w:rFonts w:cstheme="minorHAnsi"/>
                <w:color w:val="000000" w:themeColor="text1"/>
                <w:lang w:val="en-US"/>
              </w:rPr>
            </w:pPr>
            <w:r>
              <w:rPr>
                <w:rFonts w:cstheme="minorHAnsi"/>
                <w:color w:val="000000" w:themeColor="text1"/>
                <w:lang w:val="en-US"/>
              </w:rPr>
              <w:t>Carencia de micronutrientes</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7355FC1D" w:rsidR="00C32E34" w:rsidRDefault="00B82077" w:rsidP="009657B8">
            <w:pPr>
              <w:rPr>
                <w:rFonts w:cstheme="minorHAnsi"/>
                <w:color w:val="000000" w:themeColor="text1"/>
                <w:lang w:val="en-US"/>
              </w:rPr>
            </w:pPr>
            <w:r>
              <w:rPr>
                <w:rFonts w:cstheme="minorHAnsi"/>
                <w:color w:val="000000" w:themeColor="text1"/>
                <w:lang w:val="en-US"/>
              </w:rPr>
              <w:t>Intracellular micronutrient status</w:t>
            </w:r>
          </w:p>
        </w:tc>
        <w:tc>
          <w:tcPr>
            <w:tcW w:w="4449" w:type="dxa"/>
          </w:tcPr>
          <w:p w14:paraId="1479DEB3" w14:textId="62815452" w:rsidR="00C32E34" w:rsidRPr="000C67EA" w:rsidRDefault="00B82077" w:rsidP="009657B8">
            <w:pPr>
              <w:rPr>
                <w:rFonts w:cstheme="minorHAnsi"/>
                <w:color w:val="000000" w:themeColor="text1"/>
              </w:rPr>
            </w:pPr>
            <w:r>
              <w:rPr>
                <w:rFonts w:cstheme="minorHAnsi"/>
                <w:color w:val="000000" w:themeColor="text1"/>
              </w:rPr>
              <w:t>Estado intracelular de los micronutrientes</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09D11598" w:rsidR="00C32E34" w:rsidRDefault="00B82077" w:rsidP="009657B8">
            <w:pPr>
              <w:rPr>
                <w:rFonts w:cstheme="minorHAnsi"/>
                <w:color w:val="000000" w:themeColor="text1"/>
                <w:lang w:val="en-US"/>
              </w:rPr>
            </w:pPr>
            <w:r>
              <w:rPr>
                <w:rFonts w:cstheme="minorHAnsi"/>
                <w:color w:val="000000" w:themeColor="text1"/>
                <w:lang w:val="en-US"/>
              </w:rPr>
              <w:t>DRI</w:t>
            </w:r>
          </w:p>
        </w:tc>
        <w:tc>
          <w:tcPr>
            <w:tcW w:w="4449" w:type="dxa"/>
          </w:tcPr>
          <w:p w14:paraId="39141B9D" w14:textId="749A4DE0" w:rsidR="00C32E34" w:rsidRPr="00B82077" w:rsidRDefault="00B82077" w:rsidP="009657B8">
            <w:pPr>
              <w:rPr>
                <w:rFonts w:cstheme="minorHAnsi"/>
                <w:color w:val="000000" w:themeColor="text1"/>
              </w:rPr>
            </w:pPr>
            <w:r w:rsidRPr="00B82077">
              <w:rPr>
                <w:rFonts w:cstheme="minorHAnsi"/>
                <w:color w:val="000000" w:themeColor="text1"/>
              </w:rPr>
              <w:t>Ingestas alimentarias de referencia (DRI)</w:t>
            </w:r>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1177723E" w:rsidR="00C32E34" w:rsidRDefault="00B82077" w:rsidP="009657B8">
            <w:pPr>
              <w:rPr>
                <w:rFonts w:cstheme="minorHAnsi"/>
                <w:color w:val="000000" w:themeColor="text1"/>
                <w:lang w:val="en-US"/>
              </w:rPr>
            </w:pPr>
            <w:r w:rsidRPr="00B82077">
              <w:rPr>
                <w:rFonts w:cstheme="minorHAnsi"/>
                <w:color w:val="000000" w:themeColor="text1"/>
                <w:lang w:val="en-US"/>
              </w:rPr>
              <w:t>lipophilic serum vitamin concentrations</w:t>
            </w:r>
          </w:p>
        </w:tc>
        <w:tc>
          <w:tcPr>
            <w:tcW w:w="4449" w:type="dxa"/>
          </w:tcPr>
          <w:p w14:paraId="09A4F8BB" w14:textId="1FCC769B" w:rsidR="00C32E34" w:rsidRPr="00B82077" w:rsidRDefault="00B82077" w:rsidP="009657B8">
            <w:pPr>
              <w:rPr>
                <w:rFonts w:cstheme="minorHAnsi"/>
                <w:color w:val="000000" w:themeColor="text1"/>
              </w:rPr>
            </w:pPr>
            <w:r w:rsidRPr="00B82077">
              <w:rPr>
                <w:rFonts w:cstheme="minorHAnsi"/>
                <w:color w:val="000000" w:themeColor="text1"/>
              </w:rPr>
              <w:t>concentraciones séricas lipofílicas de vitaminas</w:t>
            </w:r>
          </w:p>
        </w:tc>
      </w:tr>
    </w:tbl>
    <w:p w14:paraId="08B268C8" w14:textId="77777777" w:rsidR="0083356E" w:rsidRPr="00B82077" w:rsidRDefault="0083356E" w:rsidP="00C32E34">
      <w:pPr>
        <w:rPr>
          <w:rFonts w:cstheme="minorHAnsi"/>
          <w:b/>
          <w:bCs/>
          <w:color w:val="000000" w:themeColor="text1"/>
          <w:u w:val="single"/>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8730" w:type="dxa"/>
        <w:tblInd w:w="-95" w:type="dxa"/>
        <w:tblLook w:val="04A0" w:firstRow="1" w:lastRow="0" w:firstColumn="1" w:lastColumn="0" w:noHBand="0" w:noVBand="1"/>
      </w:tblPr>
      <w:tblGrid>
        <w:gridCol w:w="4059"/>
        <w:gridCol w:w="4671"/>
      </w:tblGrid>
      <w:tr w:rsidR="00472318" w:rsidRPr="00B832E6" w14:paraId="450D9B13" w14:textId="77777777" w:rsidTr="00855904">
        <w:tc>
          <w:tcPr>
            <w:tcW w:w="4059"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4671"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14:paraId="1D0BC489" w14:textId="77777777" w:rsidTr="00855904">
        <w:tc>
          <w:tcPr>
            <w:tcW w:w="4059" w:type="dxa"/>
          </w:tcPr>
          <w:p w14:paraId="2090E40D" w14:textId="77777777" w:rsidR="00C76713" w:rsidRPr="004E7F9F" w:rsidRDefault="00C76713" w:rsidP="00C76713">
            <w:pPr>
              <w:jc w:val="both"/>
              <w:rPr>
                <w:rFonts w:ascii="Arial" w:hAnsi="Arial" w:cs="Arial"/>
                <w:b/>
                <w:sz w:val="24"/>
                <w:szCs w:val="24"/>
                <w:lang w:val="en-US"/>
              </w:rPr>
            </w:pPr>
            <w:r w:rsidRPr="004E7F9F">
              <w:rPr>
                <w:rFonts w:ascii="Arial" w:hAnsi="Arial" w:cs="Arial"/>
                <w:b/>
                <w:sz w:val="24"/>
                <w:szCs w:val="24"/>
                <w:lang w:val="en-US"/>
              </w:rPr>
              <w:t>Abstract</w:t>
            </w:r>
          </w:p>
          <w:p w14:paraId="0F6D87FC" w14:textId="77777777" w:rsidR="00C76713" w:rsidRDefault="00C76713" w:rsidP="00C76713">
            <w:pPr>
              <w:jc w:val="both"/>
              <w:rPr>
                <w:rFonts w:ascii="Arial" w:hAnsi="Arial" w:cs="Arial"/>
                <w:b/>
                <w:sz w:val="24"/>
                <w:szCs w:val="24"/>
                <w:lang w:val="en-US"/>
              </w:rPr>
            </w:pPr>
          </w:p>
          <w:p w14:paraId="7189903A" w14:textId="0F54F392" w:rsidR="00C76713" w:rsidRPr="0028226B" w:rsidRDefault="00C76713" w:rsidP="00C76713">
            <w:pPr>
              <w:jc w:val="both"/>
              <w:rPr>
                <w:rFonts w:ascii="Arial" w:hAnsi="Arial" w:cs="Arial"/>
                <w:sz w:val="24"/>
                <w:szCs w:val="24"/>
                <w:lang w:val="en-US"/>
              </w:rPr>
            </w:pPr>
            <w:r w:rsidRPr="004E7F9F">
              <w:rPr>
                <w:rFonts w:ascii="Arial" w:hAnsi="Arial" w:cs="Arial"/>
                <w:b/>
                <w:sz w:val="24"/>
                <w:szCs w:val="24"/>
                <w:lang w:val="en-US"/>
              </w:rPr>
              <w:t>Background</w:t>
            </w:r>
            <w:r w:rsidRPr="0028226B">
              <w:rPr>
                <w:rFonts w:ascii="Arial" w:hAnsi="Arial" w:cs="Arial"/>
                <w:sz w:val="24"/>
                <w:szCs w:val="24"/>
                <w:lang w:val="en-US"/>
              </w:rPr>
              <w:t>: The prevalence of micronutrient deficiencies is higher in obese individuals compared to normal</w:t>
            </w:r>
            <w:r w:rsidR="00625535">
              <w:rPr>
                <w:rFonts w:ascii="Arial" w:hAnsi="Arial" w:cs="Arial"/>
                <w:sz w:val="24"/>
                <w:szCs w:val="24"/>
                <w:lang w:val="en-US"/>
              </w:rPr>
              <w:t xml:space="preserve"> </w:t>
            </w:r>
            <w:r w:rsidRPr="0028226B">
              <w:rPr>
                <w:rFonts w:ascii="Arial" w:hAnsi="Arial" w:cs="Arial"/>
                <w:sz w:val="24"/>
                <w:szCs w:val="24"/>
                <w:lang w:val="en-US"/>
              </w:rPr>
              <w:t xml:space="preserve">weight people, probably because of inadequate eating habits but also due to increased demands among overweight persons, which are underestimated by dietary reference intakes (DRI) intended for the general population. We therefore </w:t>
            </w:r>
            <w:r w:rsidRPr="0028226B">
              <w:rPr>
                <w:rFonts w:ascii="Arial" w:hAnsi="Arial" w:cs="Arial"/>
                <w:sz w:val="24"/>
                <w:szCs w:val="24"/>
                <w:lang w:val="en-US"/>
              </w:rPr>
              <w:lastRenderedPageBreak/>
              <w:t>evaluated the dietary micronutrient intake in obese individuals compared to a reference population and DRI recommendations. Furthermore, we determined the micronutrient status in obese subjects undergoing a standardized DRI-covering low-calorie formula diet to analyze if the DRI meet the micronutrient requirements of obese individuals.</w:t>
            </w:r>
          </w:p>
          <w:p w14:paraId="2EB0DB17" w14:textId="77777777" w:rsidR="00C76713" w:rsidRDefault="00C76713" w:rsidP="00C76713">
            <w:pPr>
              <w:jc w:val="both"/>
              <w:rPr>
                <w:rFonts w:ascii="Arial" w:hAnsi="Arial" w:cs="Arial"/>
                <w:b/>
                <w:sz w:val="24"/>
                <w:szCs w:val="24"/>
                <w:lang w:val="en-US"/>
              </w:rPr>
            </w:pPr>
          </w:p>
          <w:p w14:paraId="456EE22D" w14:textId="78068F35" w:rsidR="00C76713" w:rsidRPr="0028226B" w:rsidRDefault="00C76713" w:rsidP="00C76713">
            <w:pPr>
              <w:jc w:val="both"/>
              <w:rPr>
                <w:rFonts w:ascii="Arial" w:hAnsi="Arial" w:cs="Arial"/>
                <w:sz w:val="24"/>
                <w:szCs w:val="24"/>
                <w:lang w:val="en-US"/>
              </w:rPr>
            </w:pPr>
            <w:r w:rsidRPr="004E7F9F">
              <w:rPr>
                <w:rFonts w:ascii="Arial" w:hAnsi="Arial" w:cs="Arial"/>
                <w:b/>
                <w:sz w:val="24"/>
                <w:szCs w:val="24"/>
                <w:lang w:val="en-US"/>
              </w:rPr>
              <w:t>Methods</w:t>
            </w:r>
            <w:r w:rsidRPr="0028226B">
              <w:rPr>
                <w:rFonts w:ascii="Arial" w:hAnsi="Arial" w:cs="Arial"/>
                <w:sz w:val="24"/>
                <w:szCs w:val="24"/>
                <w:lang w:val="en-US"/>
              </w:rPr>
              <w:t>: In 104 subjects baseline micronutrient intake was determined by dietary record collection. A randomly assigned subgroup of subjects (n = 32) underwent a standardized DRI-covering low-calorie formula diet over a period of three months. Pre- and post-interventional intracellular micronutrient status in buccal mucosa cells (BMC) was analyzed, as well as additional micronutrient serum concentrations in 14 of the subjects.</w:t>
            </w:r>
          </w:p>
          <w:p w14:paraId="7B515924" w14:textId="77777777" w:rsidR="00C76713" w:rsidRDefault="00C76713" w:rsidP="00C76713">
            <w:pPr>
              <w:jc w:val="both"/>
              <w:rPr>
                <w:rFonts w:ascii="Arial" w:hAnsi="Arial" w:cs="Arial"/>
                <w:b/>
                <w:sz w:val="24"/>
                <w:szCs w:val="24"/>
                <w:lang w:val="en-US"/>
              </w:rPr>
            </w:pPr>
          </w:p>
          <w:p w14:paraId="49E7C1C5" w14:textId="51D1DE7E" w:rsidR="00C76713" w:rsidRPr="0028226B" w:rsidRDefault="00C76713" w:rsidP="00C76713">
            <w:pPr>
              <w:jc w:val="both"/>
              <w:rPr>
                <w:rFonts w:ascii="Arial" w:hAnsi="Arial" w:cs="Arial"/>
                <w:sz w:val="24"/>
                <w:szCs w:val="24"/>
                <w:lang w:val="en-US"/>
              </w:rPr>
            </w:pPr>
            <w:r w:rsidRPr="004E7F9F">
              <w:rPr>
                <w:rFonts w:ascii="Arial" w:hAnsi="Arial" w:cs="Arial"/>
                <w:b/>
                <w:sz w:val="24"/>
                <w:szCs w:val="24"/>
                <w:lang w:val="en-US"/>
              </w:rPr>
              <w:t>Results</w:t>
            </w:r>
            <w:r w:rsidRPr="0028226B">
              <w:rPr>
                <w:rFonts w:ascii="Arial" w:hAnsi="Arial" w:cs="Arial"/>
                <w:sz w:val="24"/>
                <w:szCs w:val="24"/>
                <w:lang w:val="en-US"/>
              </w:rPr>
              <w:t>: Prior to dietetic intervention, nutrition was calorie-rich and micronutrient-poor. Baseline deficiencies in serum concentrations were observed for 25-hydroxyvitamin-D, vitamin C, selenium, iron, as well as ß-carotene, vitamin C, and lycopene in BMC. After a three-month period of formula diet even more subjects had reduced</w:t>
            </w:r>
            <w:r>
              <w:rPr>
                <w:rFonts w:ascii="Arial" w:hAnsi="Arial" w:cs="Arial"/>
                <w:sz w:val="24"/>
                <w:szCs w:val="24"/>
                <w:lang w:val="en-US"/>
              </w:rPr>
              <w:t xml:space="preserve"> </w:t>
            </w:r>
            <w:r w:rsidRPr="0028226B">
              <w:rPr>
                <w:rFonts w:ascii="Arial" w:hAnsi="Arial" w:cs="Arial"/>
                <w:sz w:val="24"/>
                <w:szCs w:val="24"/>
                <w:lang w:val="en-US"/>
              </w:rPr>
              <w:t>micronutrient levels of vitamin C (serum, BMC), zinc, and lycopene. There was a significant negative correlation between lipophilic serum vitamin concentrations and body fat, as well as between iron and C-reactive protein.</w:t>
            </w:r>
          </w:p>
          <w:p w14:paraId="75D95C92" w14:textId="77777777" w:rsidR="00C76713" w:rsidRDefault="00C76713" w:rsidP="00C76713">
            <w:pPr>
              <w:jc w:val="both"/>
              <w:rPr>
                <w:rFonts w:ascii="Arial" w:hAnsi="Arial" w:cs="Arial"/>
                <w:b/>
                <w:sz w:val="24"/>
                <w:szCs w:val="24"/>
                <w:lang w:val="en-US"/>
              </w:rPr>
            </w:pPr>
          </w:p>
          <w:p w14:paraId="5B019235" w14:textId="7AD5C451" w:rsidR="00C76713" w:rsidRPr="0028226B" w:rsidRDefault="00C76713" w:rsidP="00C76713">
            <w:pPr>
              <w:jc w:val="both"/>
              <w:rPr>
                <w:rFonts w:ascii="Arial" w:hAnsi="Arial" w:cs="Arial"/>
                <w:sz w:val="24"/>
                <w:szCs w:val="24"/>
                <w:lang w:val="en-US"/>
              </w:rPr>
            </w:pPr>
            <w:r w:rsidRPr="004E7F9F">
              <w:rPr>
                <w:rFonts w:ascii="Arial" w:hAnsi="Arial" w:cs="Arial"/>
                <w:b/>
                <w:sz w:val="24"/>
                <w:szCs w:val="24"/>
                <w:lang w:val="en-US"/>
              </w:rPr>
              <w:lastRenderedPageBreak/>
              <w:t>Conclusions</w:t>
            </w:r>
            <w:r w:rsidRPr="0028226B">
              <w:rPr>
                <w:rFonts w:ascii="Arial" w:hAnsi="Arial" w:cs="Arial"/>
                <w:sz w:val="24"/>
                <w:szCs w:val="24"/>
                <w:lang w:val="en-US"/>
              </w:rPr>
              <w:t>: The present pilot study shows that micronutrient deficiency occurring in obese individuals is not corrected by protein-rich formula diet containing vitamins and minerals according to DRI. In contrast, micronutrient levels remain low or become even lower, which might be explained by insufficient intake, increased demand and unbalanced dispersal of lipophilic compounds in the body.</w:t>
            </w:r>
          </w:p>
          <w:p w14:paraId="42CB34BB" w14:textId="77777777" w:rsidR="00472318" w:rsidRDefault="00472318" w:rsidP="00E50F91">
            <w:pPr>
              <w:rPr>
                <w:rFonts w:cstheme="minorHAnsi"/>
                <w:color w:val="000000" w:themeColor="text1"/>
                <w:lang w:val="en-US"/>
              </w:rPr>
            </w:pPr>
          </w:p>
          <w:p w14:paraId="4F8E57C3" w14:textId="77777777" w:rsidR="00ED2F8F" w:rsidRDefault="00ED2F8F" w:rsidP="00E50F91">
            <w:pPr>
              <w:rPr>
                <w:rFonts w:cstheme="minorHAnsi"/>
                <w:color w:val="000000" w:themeColor="text1"/>
                <w:lang w:val="en-US"/>
              </w:rPr>
            </w:pPr>
          </w:p>
          <w:p w14:paraId="2D4C9D5A" w14:textId="08B2D47C" w:rsidR="00ED2F8F" w:rsidRPr="009D1F3B" w:rsidRDefault="00ED2F8F" w:rsidP="00E50F91">
            <w:pPr>
              <w:rPr>
                <w:rFonts w:cstheme="minorHAnsi"/>
                <w:color w:val="000000" w:themeColor="text1"/>
                <w:lang w:val="en-US"/>
              </w:rPr>
            </w:pPr>
          </w:p>
        </w:tc>
        <w:tc>
          <w:tcPr>
            <w:tcW w:w="4671" w:type="dxa"/>
          </w:tcPr>
          <w:p w14:paraId="502CE457" w14:textId="757FF168" w:rsidR="00C76713" w:rsidRPr="00C76713" w:rsidRDefault="00C76713" w:rsidP="00C76713">
            <w:pPr>
              <w:jc w:val="both"/>
              <w:rPr>
                <w:rFonts w:ascii="Arial" w:hAnsi="Arial" w:cs="Arial"/>
                <w:b/>
                <w:sz w:val="24"/>
                <w:szCs w:val="24"/>
              </w:rPr>
            </w:pPr>
            <w:r w:rsidRPr="00C76713">
              <w:rPr>
                <w:rFonts w:ascii="Arial" w:hAnsi="Arial" w:cs="Arial"/>
                <w:b/>
                <w:sz w:val="24"/>
                <w:szCs w:val="24"/>
              </w:rPr>
              <w:lastRenderedPageBreak/>
              <w:t>Resumen</w:t>
            </w:r>
          </w:p>
          <w:p w14:paraId="485D17BE" w14:textId="77777777" w:rsidR="00C76713" w:rsidRPr="00945FF7" w:rsidRDefault="00C76713" w:rsidP="00C76713">
            <w:pPr>
              <w:jc w:val="both"/>
              <w:rPr>
                <w:rFonts w:ascii="Arial" w:hAnsi="Arial" w:cs="Arial"/>
                <w:sz w:val="24"/>
                <w:szCs w:val="24"/>
              </w:rPr>
            </w:pPr>
          </w:p>
          <w:p w14:paraId="6540BEA3" w14:textId="77777777" w:rsidR="00C76713" w:rsidRPr="00945FF7" w:rsidRDefault="00C76713" w:rsidP="00C76713">
            <w:pPr>
              <w:jc w:val="both"/>
              <w:rPr>
                <w:rFonts w:ascii="Arial" w:hAnsi="Arial" w:cs="Arial"/>
                <w:sz w:val="24"/>
                <w:szCs w:val="24"/>
              </w:rPr>
            </w:pPr>
            <w:r w:rsidRPr="00C76713">
              <w:rPr>
                <w:rFonts w:ascii="Arial" w:hAnsi="Arial" w:cs="Arial"/>
                <w:b/>
                <w:sz w:val="24"/>
                <w:szCs w:val="24"/>
              </w:rPr>
              <w:t>Introducción</w:t>
            </w:r>
            <w:r w:rsidRPr="00945FF7">
              <w:rPr>
                <w:rFonts w:ascii="Arial" w:hAnsi="Arial" w:cs="Arial"/>
                <w:sz w:val="24"/>
                <w:szCs w:val="24"/>
              </w:rPr>
              <w:t xml:space="preserve">: La prevalencia de carencia de micronutrientes es mayor en los individuos obesos en comparación con personas de peso normal, probablemente debido a los hábitos alimentarios inadecuados, así como también a la mayor demanda entre las personas con sobrepeso que son subestimadas en las ingestas alimentarias de referencia (DRI), destinadas a la población general. Por </w:t>
            </w:r>
            <w:r w:rsidRPr="00945FF7">
              <w:rPr>
                <w:rFonts w:ascii="Arial" w:hAnsi="Arial" w:cs="Arial"/>
                <w:sz w:val="24"/>
                <w:szCs w:val="24"/>
              </w:rPr>
              <w:lastRenderedPageBreak/>
              <w:t>ende, evaluamos la ingesta alimentaria de micronutrientes en los individuos obesos, en comparación con la población de referencia y con las recomendaciones de las DRI. Además, determinamos el estado de micronutrientes en los sujetos obesos sometidos a una dieta hipocalórica estandarizada y a base de fórmula que cubre las DRI para analizar si los valores de las DRI cumplen los requisitos de los micronutrientes en los individuos obesos.</w:t>
            </w:r>
          </w:p>
          <w:p w14:paraId="528DE501" w14:textId="77777777" w:rsidR="00C76713" w:rsidRDefault="00C76713" w:rsidP="00C76713">
            <w:pPr>
              <w:jc w:val="both"/>
              <w:rPr>
                <w:rFonts w:ascii="Arial" w:hAnsi="Arial" w:cs="Arial"/>
                <w:sz w:val="24"/>
                <w:szCs w:val="24"/>
              </w:rPr>
            </w:pPr>
          </w:p>
          <w:p w14:paraId="7FDE55AB" w14:textId="3664C2B2" w:rsidR="00C76713" w:rsidRPr="00945FF7" w:rsidRDefault="00C76713" w:rsidP="00C76713">
            <w:pPr>
              <w:jc w:val="both"/>
              <w:rPr>
                <w:rFonts w:ascii="Arial" w:hAnsi="Arial" w:cs="Arial"/>
                <w:sz w:val="24"/>
                <w:szCs w:val="24"/>
              </w:rPr>
            </w:pPr>
            <w:r w:rsidRPr="00C76713">
              <w:rPr>
                <w:rFonts w:ascii="Arial" w:hAnsi="Arial" w:cs="Arial"/>
                <w:b/>
                <w:sz w:val="24"/>
                <w:szCs w:val="24"/>
              </w:rPr>
              <w:t>Métodos</w:t>
            </w:r>
            <w:r w:rsidRPr="00945FF7">
              <w:rPr>
                <w:rFonts w:ascii="Arial" w:hAnsi="Arial" w:cs="Arial"/>
                <w:sz w:val="24"/>
                <w:szCs w:val="24"/>
              </w:rPr>
              <w:t>: Se determinó la ingesta basal de micronutrientes en 104 sujetos, de acuerdo con la recolección de registros alimentarios. Un subgrupo de sujetos (n=32) asignado aleatoriamente se sometió a una dieta hipocalórica estandarizada a base de fórmula que cubre las DRI por un período de tres meses. Se analizó el estado intracelular de los micronutrientes, antes y después de la intervención en las células de la mucosa yugal (BMC), así como las concentraciones séricas de micronutrientes adicionales en 14 de los sujetos.</w:t>
            </w:r>
          </w:p>
          <w:p w14:paraId="4BFF6149" w14:textId="77777777" w:rsidR="00C76713" w:rsidRDefault="00C76713" w:rsidP="00C76713">
            <w:pPr>
              <w:jc w:val="both"/>
              <w:rPr>
                <w:rFonts w:ascii="Arial" w:hAnsi="Arial" w:cs="Arial"/>
                <w:sz w:val="24"/>
                <w:szCs w:val="24"/>
              </w:rPr>
            </w:pPr>
          </w:p>
          <w:p w14:paraId="0F8974E3" w14:textId="28973600" w:rsidR="00C76713" w:rsidRPr="00945FF7" w:rsidRDefault="00C76713" w:rsidP="00C76713">
            <w:pPr>
              <w:jc w:val="both"/>
              <w:rPr>
                <w:rFonts w:ascii="Arial" w:hAnsi="Arial" w:cs="Arial"/>
                <w:sz w:val="24"/>
                <w:szCs w:val="24"/>
              </w:rPr>
            </w:pPr>
            <w:r w:rsidRPr="00C76713">
              <w:rPr>
                <w:rFonts w:ascii="Arial" w:hAnsi="Arial" w:cs="Arial"/>
                <w:b/>
                <w:sz w:val="24"/>
                <w:szCs w:val="24"/>
              </w:rPr>
              <w:t>Resultados</w:t>
            </w:r>
            <w:r w:rsidRPr="00945FF7">
              <w:rPr>
                <w:rFonts w:ascii="Arial" w:hAnsi="Arial" w:cs="Arial"/>
                <w:sz w:val="24"/>
                <w:szCs w:val="24"/>
              </w:rPr>
              <w:t>: Previo a la intervención dietética, la alimentación tenía un contenido alto de calorías y bajo de micronutrientes. Se observaron las carencias basales en las concentraciones séricas en busca de 25-hidroxivitamina D, vitamina C, selenio, hierro, así como de ß-caroteno, vitamina C y licopeno en las BMC. Después de un período de tres meses de dieta a base de fórmula, incluso más sujetos redujeron los niveles de micronutrientes de vitamina C (suero, las BMC), zinc y licopeno.  Hubo una correlación negativa significativa entre las concentraciones séricas lipofílicas de vitaminas y la grasa corporal, así como entre el hierro y la proteína C reactiva.</w:t>
            </w:r>
          </w:p>
          <w:p w14:paraId="1081DE99" w14:textId="77777777" w:rsidR="00C76713" w:rsidRDefault="00C76713" w:rsidP="00C76713">
            <w:pPr>
              <w:jc w:val="both"/>
              <w:rPr>
                <w:rFonts w:ascii="Arial" w:hAnsi="Arial" w:cs="Arial"/>
                <w:sz w:val="24"/>
                <w:szCs w:val="24"/>
              </w:rPr>
            </w:pPr>
          </w:p>
          <w:p w14:paraId="6F3D484E" w14:textId="1F440BB5" w:rsidR="00472318" w:rsidRPr="00C76713" w:rsidRDefault="00C76713" w:rsidP="00C76713">
            <w:pPr>
              <w:jc w:val="both"/>
              <w:rPr>
                <w:rFonts w:ascii="Arial" w:hAnsi="Arial" w:cs="Arial"/>
                <w:sz w:val="24"/>
                <w:szCs w:val="24"/>
              </w:rPr>
            </w:pPr>
            <w:r w:rsidRPr="00C76713">
              <w:rPr>
                <w:rFonts w:ascii="Arial" w:hAnsi="Arial" w:cs="Arial"/>
                <w:b/>
                <w:sz w:val="24"/>
                <w:szCs w:val="24"/>
              </w:rPr>
              <w:lastRenderedPageBreak/>
              <w:t>Conclusiones</w:t>
            </w:r>
            <w:r w:rsidRPr="00945FF7">
              <w:rPr>
                <w:rFonts w:ascii="Arial" w:hAnsi="Arial" w:cs="Arial"/>
                <w:sz w:val="24"/>
                <w:szCs w:val="24"/>
              </w:rPr>
              <w:t>: En el presente estudio piloto, se muestra que la carencia de micronutrientes de los individuos obesos no se corrige con una dieta a base de fórmula rica en proteínas, que contenga vitaminas y minerales de acuerdo con las DRI. Al contrario, los niveles de micronutrientes permanecen bajos o disminuyen más, lo que podría explicars</w:t>
            </w:r>
            <w:r>
              <w:rPr>
                <w:rFonts w:ascii="Arial" w:hAnsi="Arial" w:cs="Arial"/>
                <w:sz w:val="24"/>
                <w:szCs w:val="24"/>
              </w:rPr>
              <w:t xml:space="preserve">e con la ingesta insuficiente, </w:t>
            </w:r>
            <w:r w:rsidRPr="00945FF7">
              <w:rPr>
                <w:rFonts w:ascii="Arial" w:hAnsi="Arial" w:cs="Arial"/>
                <w:sz w:val="24"/>
                <w:szCs w:val="24"/>
              </w:rPr>
              <w:t xml:space="preserve">la mayor demanda y la dispersión desequilibrada de lipófilos compuestos en el cuerpo. </w:t>
            </w:r>
          </w:p>
        </w:tc>
      </w:tr>
    </w:tbl>
    <w:p w14:paraId="273A4F89" w14:textId="00DA78EE" w:rsidR="00BA77C8" w:rsidRPr="00C76713" w:rsidRDefault="00BA77C8" w:rsidP="00472318">
      <w:pPr>
        <w:jc w:val="center"/>
        <w:rPr>
          <w:rFonts w:cstheme="minorHAnsi"/>
          <w:color w:val="000000" w:themeColor="text1"/>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955668" w14:paraId="4E936DDB" w14:textId="77777777" w:rsidTr="009657B8">
        <w:trPr>
          <w:cantSplit/>
          <w:jc w:val="center"/>
        </w:trPr>
        <w:tc>
          <w:tcPr>
            <w:tcW w:w="3024" w:type="dxa"/>
          </w:tcPr>
          <w:p w14:paraId="16ACC2D0" w14:textId="6DF90601" w:rsidR="00C32E34" w:rsidRPr="00A77A27" w:rsidRDefault="00955668" w:rsidP="009657B8">
            <w:pPr>
              <w:pStyle w:val="Table-Body"/>
              <w:rPr>
                <w:rFonts w:asciiTheme="minorHAnsi" w:hAnsiTheme="minorHAnsi" w:cstheme="minorHAnsi"/>
                <w:noProof w:val="0"/>
                <w:sz w:val="24"/>
                <w:szCs w:val="24"/>
                <w:lang w:val="en-US"/>
              </w:rPr>
            </w:pPr>
            <w:r w:rsidRPr="00A77A27">
              <w:rPr>
                <w:rFonts w:asciiTheme="minorHAnsi" w:hAnsiTheme="minorHAnsi" w:cstheme="minorHAnsi"/>
                <w:sz w:val="24"/>
                <w:szCs w:val="24"/>
                <w:lang w:val="en-US"/>
              </w:rPr>
              <w:t>standardized DRI-covering low-calorie formula diet</w:t>
            </w:r>
          </w:p>
        </w:tc>
        <w:tc>
          <w:tcPr>
            <w:tcW w:w="3024" w:type="dxa"/>
          </w:tcPr>
          <w:p w14:paraId="7CBA6972" w14:textId="1CF485EF" w:rsidR="00C32E34" w:rsidRPr="00A77A27" w:rsidRDefault="00955668" w:rsidP="009657B8">
            <w:pPr>
              <w:pStyle w:val="Table-Body"/>
              <w:rPr>
                <w:rFonts w:asciiTheme="minorHAnsi" w:hAnsiTheme="minorHAnsi" w:cstheme="minorHAnsi"/>
                <w:noProof w:val="0"/>
                <w:sz w:val="24"/>
                <w:szCs w:val="24"/>
                <w:lang w:val="es-AR"/>
              </w:rPr>
            </w:pPr>
            <w:r w:rsidRPr="00A77A27">
              <w:rPr>
                <w:rFonts w:asciiTheme="minorHAnsi" w:hAnsiTheme="minorHAnsi" w:cstheme="minorHAnsi"/>
                <w:sz w:val="24"/>
                <w:szCs w:val="24"/>
                <w:lang w:val="es-AR"/>
              </w:rPr>
              <w:t>dieta hipocalórica estandarizada y a base de fórmula</w:t>
            </w:r>
            <w:r w:rsidRPr="00A77A27">
              <w:rPr>
                <w:rFonts w:asciiTheme="minorHAnsi" w:hAnsiTheme="minorHAnsi" w:cstheme="minorHAnsi"/>
                <w:sz w:val="24"/>
                <w:szCs w:val="24"/>
                <w:lang w:val="es-AR"/>
              </w:rPr>
              <w:t xml:space="preserve"> que cubre las DRI</w:t>
            </w:r>
          </w:p>
        </w:tc>
        <w:tc>
          <w:tcPr>
            <w:tcW w:w="3024" w:type="dxa"/>
          </w:tcPr>
          <w:p w14:paraId="166C29FC" w14:textId="5940CEB5" w:rsidR="00C32E34" w:rsidRPr="0027163A" w:rsidRDefault="0027163A" w:rsidP="00955668">
            <w:pPr>
              <w:pStyle w:val="Table-Body"/>
              <w:rPr>
                <w:rFonts w:asciiTheme="minorHAnsi" w:hAnsiTheme="minorHAnsi" w:cstheme="minorHAnsi"/>
                <w:i w:val="0"/>
                <w:noProof w:val="0"/>
                <w:sz w:val="22"/>
                <w:szCs w:val="22"/>
                <w:lang w:val="en-US"/>
              </w:rPr>
            </w:pPr>
            <w:r w:rsidRPr="0027163A">
              <w:rPr>
                <w:rFonts w:asciiTheme="minorHAnsi" w:hAnsiTheme="minorHAnsi" w:cstheme="minorHAnsi"/>
                <w:i w:val="0"/>
                <w:noProof w:val="0"/>
                <w:sz w:val="22"/>
                <w:szCs w:val="22"/>
                <w:lang w:val="en-US"/>
              </w:rPr>
              <w:t>Special attention must be payed to adjectives because their order is different in each language.</w:t>
            </w:r>
            <w:r w:rsidR="00955668" w:rsidRPr="0027163A">
              <w:rPr>
                <w:rFonts w:asciiTheme="minorHAnsi" w:hAnsiTheme="minorHAnsi" w:cstheme="minorHAnsi"/>
                <w:i w:val="0"/>
                <w:noProof w:val="0"/>
                <w:sz w:val="22"/>
                <w:szCs w:val="22"/>
                <w:lang w:val="en-US"/>
              </w:rPr>
              <w:t xml:space="preserve"> </w:t>
            </w:r>
          </w:p>
        </w:tc>
      </w:tr>
      <w:tr w:rsidR="00C32E34" w:rsidRPr="00955668" w14:paraId="4DF1136B" w14:textId="77777777" w:rsidTr="009657B8">
        <w:trPr>
          <w:cantSplit/>
          <w:jc w:val="center"/>
        </w:trPr>
        <w:tc>
          <w:tcPr>
            <w:tcW w:w="3024" w:type="dxa"/>
          </w:tcPr>
          <w:p w14:paraId="08EA4513" w14:textId="43B90270" w:rsidR="00C32E34" w:rsidRPr="00A77A27" w:rsidRDefault="0027163A" w:rsidP="009657B8">
            <w:pPr>
              <w:pStyle w:val="Table-Body"/>
              <w:rPr>
                <w:rFonts w:asciiTheme="minorHAnsi" w:hAnsiTheme="minorHAnsi" w:cstheme="minorHAnsi"/>
                <w:noProof w:val="0"/>
                <w:sz w:val="24"/>
                <w:szCs w:val="24"/>
                <w:lang w:val="en-US"/>
              </w:rPr>
            </w:pPr>
            <w:r w:rsidRPr="00A77A27">
              <w:rPr>
                <w:rFonts w:asciiTheme="minorHAnsi" w:hAnsiTheme="minorHAnsi" w:cstheme="minorHAnsi"/>
                <w:noProof w:val="0"/>
                <w:sz w:val="24"/>
                <w:szCs w:val="24"/>
                <w:lang w:val="en-US"/>
              </w:rPr>
              <w:t>n = 32</w:t>
            </w:r>
          </w:p>
        </w:tc>
        <w:tc>
          <w:tcPr>
            <w:tcW w:w="3024" w:type="dxa"/>
          </w:tcPr>
          <w:p w14:paraId="1E68AD91" w14:textId="67D0880C" w:rsidR="00C32E34" w:rsidRPr="00A77A27" w:rsidRDefault="0027163A" w:rsidP="009657B8">
            <w:pPr>
              <w:pStyle w:val="Table-Body"/>
              <w:rPr>
                <w:rFonts w:asciiTheme="minorHAnsi" w:hAnsiTheme="minorHAnsi" w:cstheme="minorHAnsi"/>
                <w:noProof w:val="0"/>
                <w:sz w:val="24"/>
                <w:szCs w:val="24"/>
                <w:lang w:val="en-US"/>
              </w:rPr>
            </w:pPr>
            <w:r w:rsidRPr="00A77A27">
              <w:rPr>
                <w:rFonts w:asciiTheme="minorHAnsi" w:hAnsiTheme="minorHAnsi" w:cstheme="minorHAnsi"/>
                <w:noProof w:val="0"/>
                <w:sz w:val="24"/>
                <w:szCs w:val="24"/>
                <w:lang w:val="en-US"/>
              </w:rPr>
              <w:t>n=32</w:t>
            </w:r>
          </w:p>
        </w:tc>
        <w:tc>
          <w:tcPr>
            <w:tcW w:w="3024" w:type="dxa"/>
          </w:tcPr>
          <w:p w14:paraId="30D747FA" w14:textId="501F0863" w:rsidR="00C32E34" w:rsidRPr="0027163A" w:rsidRDefault="0027163A" w:rsidP="009657B8">
            <w:pPr>
              <w:pStyle w:val="Table-Body"/>
              <w:rPr>
                <w:rFonts w:asciiTheme="minorHAnsi" w:hAnsiTheme="minorHAnsi" w:cstheme="minorHAnsi"/>
                <w:i w:val="0"/>
                <w:noProof w:val="0"/>
                <w:sz w:val="22"/>
                <w:szCs w:val="22"/>
                <w:lang w:val="en-US"/>
              </w:rPr>
            </w:pPr>
            <w:r>
              <w:rPr>
                <w:rFonts w:asciiTheme="minorHAnsi" w:hAnsiTheme="minorHAnsi" w:cstheme="minorHAnsi"/>
                <w:i w:val="0"/>
                <w:noProof w:val="0"/>
                <w:sz w:val="22"/>
                <w:szCs w:val="22"/>
                <w:lang w:val="en-US"/>
              </w:rPr>
              <w:t>Signs and numbers also must be checked because spacing, for instance, is different in each language.</w:t>
            </w:r>
          </w:p>
        </w:tc>
      </w:tr>
      <w:tr w:rsidR="00C32E34" w:rsidRPr="00A77A27" w14:paraId="0CD05816" w14:textId="77777777" w:rsidTr="009657B8">
        <w:trPr>
          <w:cantSplit/>
          <w:jc w:val="center"/>
        </w:trPr>
        <w:tc>
          <w:tcPr>
            <w:tcW w:w="3024" w:type="dxa"/>
          </w:tcPr>
          <w:p w14:paraId="3482C24B" w14:textId="571AEA02" w:rsidR="00C32E34" w:rsidRPr="00A77A27" w:rsidRDefault="00A77A27" w:rsidP="009657B8">
            <w:pPr>
              <w:pStyle w:val="Table-Body"/>
              <w:rPr>
                <w:rFonts w:asciiTheme="minorHAnsi" w:hAnsiTheme="minorHAnsi" w:cstheme="minorHAnsi"/>
                <w:noProof w:val="0"/>
                <w:sz w:val="24"/>
                <w:szCs w:val="24"/>
                <w:lang w:val="en-US"/>
              </w:rPr>
            </w:pPr>
            <w:r w:rsidRPr="00A77A27">
              <w:rPr>
                <w:rFonts w:asciiTheme="minorHAnsi" w:hAnsiTheme="minorHAnsi" w:cstheme="minorHAnsi"/>
                <w:noProof w:val="0"/>
                <w:sz w:val="24"/>
                <w:szCs w:val="24"/>
                <w:lang w:val="en-US"/>
              </w:rPr>
              <w:lastRenderedPageBreak/>
              <w:t>The present pilot study shows</w:t>
            </w:r>
            <w:r>
              <w:rPr>
                <w:rFonts w:asciiTheme="minorHAnsi" w:hAnsiTheme="minorHAnsi" w:cstheme="minorHAnsi"/>
                <w:noProof w:val="0"/>
                <w:sz w:val="24"/>
                <w:szCs w:val="24"/>
                <w:lang w:val="en-US"/>
              </w:rPr>
              <w:t>…</w:t>
            </w:r>
          </w:p>
        </w:tc>
        <w:tc>
          <w:tcPr>
            <w:tcW w:w="3024" w:type="dxa"/>
          </w:tcPr>
          <w:p w14:paraId="17648998" w14:textId="307EABBD" w:rsidR="00C32E34" w:rsidRPr="00A77A27" w:rsidRDefault="00A77A27" w:rsidP="009657B8">
            <w:pPr>
              <w:pStyle w:val="Table-Body"/>
              <w:rPr>
                <w:rFonts w:asciiTheme="minorHAnsi" w:hAnsiTheme="minorHAnsi" w:cstheme="minorHAnsi"/>
                <w:noProof w:val="0"/>
                <w:sz w:val="24"/>
                <w:szCs w:val="24"/>
                <w:lang w:val="es-AR"/>
              </w:rPr>
            </w:pPr>
            <w:r w:rsidRPr="00A77A27">
              <w:rPr>
                <w:rFonts w:asciiTheme="minorHAnsi" w:hAnsiTheme="minorHAnsi" w:cstheme="minorHAnsi"/>
                <w:noProof w:val="0"/>
                <w:sz w:val="24"/>
                <w:szCs w:val="24"/>
                <w:lang w:val="es-AR"/>
              </w:rPr>
              <w:t>En el presente estudio piloto, se muestra</w:t>
            </w:r>
          </w:p>
        </w:tc>
        <w:tc>
          <w:tcPr>
            <w:tcW w:w="3024" w:type="dxa"/>
          </w:tcPr>
          <w:p w14:paraId="06FF579A" w14:textId="5DDF7A57" w:rsidR="00C32E34" w:rsidRPr="00A77A27" w:rsidRDefault="00A77A27" w:rsidP="009657B8">
            <w:pPr>
              <w:pStyle w:val="Table-Body"/>
              <w:rPr>
                <w:rFonts w:asciiTheme="minorHAnsi" w:hAnsiTheme="minorHAnsi" w:cstheme="minorHAnsi"/>
                <w:i w:val="0"/>
                <w:noProof w:val="0"/>
                <w:sz w:val="22"/>
                <w:szCs w:val="22"/>
                <w:lang w:val="en-US"/>
              </w:rPr>
            </w:pPr>
            <w:r w:rsidRPr="00A77A27">
              <w:rPr>
                <w:rFonts w:asciiTheme="minorHAnsi" w:hAnsiTheme="minorHAnsi" w:cstheme="minorHAnsi"/>
                <w:i w:val="0"/>
                <w:noProof w:val="0"/>
                <w:sz w:val="22"/>
                <w:szCs w:val="22"/>
                <w:lang w:val="en-US"/>
              </w:rPr>
              <w:t>This example is tri</w:t>
            </w:r>
            <w:r>
              <w:rPr>
                <w:rFonts w:asciiTheme="minorHAnsi" w:hAnsiTheme="minorHAnsi" w:cstheme="minorHAnsi"/>
                <w:i w:val="0"/>
                <w:noProof w:val="0"/>
                <w:sz w:val="22"/>
                <w:szCs w:val="22"/>
                <w:lang w:val="en-US"/>
              </w:rPr>
              <w:t>c</w:t>
            </w:r>
            <w:r w:rsidRPr="00A77A27">
              <w:rPr>
                <w:rFonts w:asciiTheme="minorHAnsi" w:hAnsiTheme="minorHAnsi" w:cstheme="minorHAnsi"/>
                <w:i w:val="0"/>
                <w:noProof w:val="0"/>
                <w:sz w:val="22"/>
                <w:szCs w:val="22"/>
                <w:lang w:val="en-US"/>
              </w:rPr>
              <w:t xml:space="preserve">ky because in </w:t>
            </w:r>
            <w:r>
              <w:rPr>
                <w:rFonts w:asciiTheme="minorHAnsi" w:hAnsiTheme="minorHAnsi" w:cstheme="minorHAnsi"/>
                <w:i w:val="0"/>
                <w:noProof w:val="0"/>
                <w:sz w:val="22"/>
                <w:szCs w:val="22"/>
                <w:lang w:val="en-US"/>
              </w:rPr>
              <w:t>the English language there is no problem with givin</w:t>
            </w:r>
            <w:r w:rsidR="00DE5E31">
              <w:rPr>
                <w:rFonts w:asciiTheme="minorHAnsi" w:hAnsiTheme="minorHAnsi" w:cstheme="minorHAnsi"/>
                <w:i w:val="0"/>
                <w:noProof w:val="0"/>
                <w:sz w:val="22"/>
                <w:szCs w:val="22"/>
                <w:lang w:val="en-US"/>
              </w:rPr>
              <w:t>g a</w:t>
            </w:r>
            <w:r w:rsidR="0004171C">
              <w:rPr>
                <w:rFonts w:asciiTheme="minorHAnsi" w:hAnsiTheme="minorHAnsi" w:cstheme="minorHAnsi"/>
                <w:i w:val="0"/>
                <w:noProof w:val="0"/>
                <w:sz w:val="22"/>
                <w:szCs w:val="22"/>
                <w:lang w:val="en-US"/>
              </w:rPr>
              <w:t>gency to the</w:t>
            </w:r>
            <w:r w:rsidR="00DE5E31">
              <w:rPr>
                <w:rFonts w:asciiTheme="minorHAnsi" w:hAnsiTheme="minorHAnsi" w:cstheme="minorHAnsi"/>
                <w:i w:val="0"/>
                <w:noProof w:val="0"/>
                <w:sz w:val="22"/>
                <w:szCs w:val="22"/>
                <w:lang w:val="en-US"/>
              </w:rPr>
              <w:t xml:space="preserve"> non-agentic noun </w:t>
            </w:r>
            <w:r>
              <w:rPr>
                <w:rFonts w:asciiTheme="minorHAnsi" w:hAnsiTheme="minorHAnsi" w:cstheme="minorHAnsi"/>
                <w:i w:val="0"/>
                <w:noProof w:val="0"/>
                <w:sz w:val="22"/>
                <w:szCs w:val="22"/>
                <w:lang w:val="en-US"/>
              </w:rPr>
              <w:t>“study”, whereas in the Spanish language that would represent a mistake, so “se” is used to remove agency from the noun “</w:t>
            </w:r>
            <w:r w:rsidR="00DE5E31">
              <w:rPr>
                <w:rFonts w:asciiTheme="minorHAnsi" w:hAnsiTheme="minorHAnsi" w:cstheme="minorHAnsi"/>
                <w:i w:val="0"/>
                <w:noProof w:val="0"/>
                <w:sz w:val="22"/>
                <w:szCs w:val="22"/>
                <w:lang w:val="en-US"/>
              </w:rPr>
              <w:t>estudio</w:t>
            </w:r>
            <w:r>
              <w:rPr>
                <w:rFonts w:asciiTheme="minorHAnsi" w:hAnsiTheme="minorHAnsi" w:cstheme="minorHAnsi"/>
                <w:i w:val="0"/>
                <w:noProof w:val="0"/>
                <w:sz w:val="22"/>
                <w:szCs w:val="22"/>
                <w:lang w:val="en-US"/>
              </w:rPr>
              <w:t xml:space="preserve">”. </w:t>
            </w:r>
            <w:r w:rsidR="00DE5E31">
              <w:rPr>
                <w:rFonts w:asciiTheme="minorHAnsi" w:hAnsiTheme="minorHAnsi" w:cstheme="minorHAnsi"/>
                <w:i w:val="0"/>
                <w:noProof w:val="0"/>
                <w:sz w:val="22"/>
                <w:szCs w:val="22"/>
                <w:lang w:val="en-US"/>
              </w:rPr>
              <w:t>A literal translation would be “In the present pilot study, it can be showed that…”</w:t>
            </w:r>
          </w:p>
        </w:tc>
      </w:tr>
    </w:tbl>
    <w:p w14:paraId="6D7649CD" w14:textId="77777777" w:rsidR="00C32E34" w:rsidRPr="00A77A27"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9657B8">
        <w:trPr>
          <w:cantSplit/>
          <w:jc w:val="center"/>
        </w:trPr>
        <w:tc>
          <w:tcPr>
            <w:tcW w:w="4525" w:type="dxa"/>
          </w:tcPr>
          <w:p w14:paraId="6F968208" w14:textId="180EC808" w:rsidR="00C32E34" w:rsidRPr="00096084" w:rsidRDefault="00096084" w:rsidP="009657B8">
            <w:pPr>
              <w:pStyle w:val="Table-Body"/>
              <w:rPr>
                <w:noProof w:val="0"/>
                <w:lang w:val="es-AR"/>
              </w:rPr>
            </w:pPr>
            <w:r w:rsidRPr="00096084">
              <w:rPr>
                <w:noProof w:val="0"/>
                <w:lang w:val="es-AR"/>
              </w:rPr>
              <w:t>Portal Terminológico de la FAO</w:t>
            </w:r>
          </w:p>
        </w:tc>
        <w:tc>
          <w:tcPr>
            <w:tcW w:w="4547" w:type="dxa"/>
          </w:tcPr>
          <w:p w14:paraId="7C07549B" w14:textId="7E042BDF" w:rsidR="00C32E34" w:rsidRPr="00096084" w:rsidRDefault="00096084" w:rsidP="009657B8">
            <w:pPr>
              <w:pStyle w:val="Table-Body"/>
              <w:rPr>
                <w:noProof w:val="0"/>
                <w:lang w:val="es-AR"/>
              </w:rPr>
            </w:pPr>
            <w:r>
              <w:rPr>
                <w:noProof w:val="0"/>
                <w:lang w:val="es-AR"/>
              </w:rPr>
              <w:t>General</w:t>
            </w:r>
          </w:p>
        </w:tc>
      </w:tr>
      <w:tr w:rsidR="00C32E34" w:rsidRPr="002169F4" w14:paraId="279DF6CA" w14:textId="77777777" w:rsidTr="009657B8">
        <w:trPr>
          <w:cantSplit/>
          <w:jc w:val="center"/>
        </w:trPr>
        <w:tc>
          <w:tcPr>
            <w:tcW w:w="4525" w:type="dxa"/>
          </w:tcPr>
          <w:p w14:paraId="4B29A1B0" w14:textId="4DA11E0D" w:rsidR="00C32E34" w:rsidRPr="00096084" w:rsidRDefault="00096084" w:rsidP="009657B8">
            <w:pPr>
              <w:pStyle w:val="Table-Body"/>
              <w:rPr>
                <w:noProof w:val="0"/>
                <w:lang w:val="es-AR"/>
              </w:rPr>
            </w:pPr>
            <w:r>
              <w:rPr>
                <w:noProof w:val="0"/>
                <w:lang w:val="es-AR"/>
              </w:rPr>
              <w:t xml:space="preserve">Global Nutrition </w:t>
            </w:r>
            <w:r w:rsidRPr="00096084">
              <w:rPr>
                <w:noProof w:val="0"/>
                <w:lang w:val="en-US"/>
              </w:rPr>
              <w:t>Report Glossary</w:t>
            </w:r>
          </w:p>
        </w:tc>
        <w:tc>
          <w:tcPr>
            <w:tcW w:w="4547" w:type="dxa"/>
          </w:tcPr>
          <w:p w14:paraId="172CAAB7" w14:textId="0C8B2AAB" w:rsidR="00096084" w:rsidRPr="00096084" w:rsidRDefault="00096084" w:rsidP="009657B8">
            <w:pPr>
              <w:pStyle w:val="Table-Body"/>
              <w:rPr>
                <w:noProof w:val="0"/>
                <w:lang w:val="es-AR"/>
              </w:rPr>
            </w:pPr>
            <w:r>
              <w:rPr>
                <w:noProof w:val="0"/>
                <w:lang w:val="es-AR"/>
              </w:rPr>
              <w:t>General</w:t>
            </w:r>
          </w:p>
        </w:tc>
      </w:tr>
      <w:tr w:rsidR="00C32E34" w:rsidRPr="002169F4" w14:paraId="429825D4" w14:textId="77777777" w:rsidTr="009657B8">
        <w:trPr>
          <w:cantSplit/>
          <w:jc w:val="center"/>
        </w:trPr>
        <w:tc>
          <w:tcPr>
            <w:tcW w:w="4525" w:type="dxa"/>
          </w:tcPr>
          <w:p w14:paraId="1E3D16B0" w14:textId="77777777" w:rsidR="00096084" w:rsidRPr="00096084" w:rsidRDefault="00096084" w:rsidP="00096084">
            <w:pPr>
              <w:pStyle w:val="Table-Body"/>
              <w:rPr>
                <w:noProof w:val="0"/>
                <w:lang w:val="en-US"/>
              </w:rPr>
            </w:pPr>
            <w:r w:rsidRPr="00096084">
              <w:rPr>
                <w:noProof w:val="0"/>
                <w:lang w:val="en-US"/>
              </w:rPr>
              <w:t>A Dictionary of Food and Nutrition</w:t>
            </w:r>
          </w:p>
          <w:p w14:paraId="721161B8" w14:textId="289C1430" w:rsidR="00C32E34" w:rsidRPr="00096084" w:rsidRDefault="00096084" w:rsidP="00096084">
            <w:pPr>
              <w:pStyle w:val="Table-Body"/>
              <w:rPr>
                <w:noProof w:val="0"/>
                <w:lang w:val="es-AR"/>
              </w:rPr>
            </w:pPr>
            <w:proofErr w:type="spellStart"/>
            <w:r w:rsidRPr="00096084">
              <w:rPr>
                <w:noProof w:val="0"/>
                <w:lang w:val="es-AR"/>
              </w:rPr>
              <w:t>By</w:t>
            </w:r>
            <w:proofErr w:type="spellEnd"/>
            <w:r w:rsidRPr="00096084">
              <w:rPr>
                <w:noProof w:val="0"/>
                <w:lang w:val="es-AR"/>
              </w:rPr>
              <w:t xml:space="preserve"> David A. Bender</w:t>
            </w:r>
          </w:p>
        </w:tc>
        <w:tc>
          <w:tcPr>
            <w:tcW w:w="4547" w:type="dxa"/>
          </w:tcPr>
          <w:p w14:paraId="1FDED4D8" w14:textId="686AE735" w:rsidR="00C32E34" w:rsidRPr="00096084" w:rsidRDefault="00096084" w:rsidP="009657B8">
            <w:pPr>
              <w:pStyle w:val="Table-Body"/>
              <w:rPr>
                <w:noProof w:val="0"/>
                <w:lang w:val="es-AR"/>
              </w:rPr>
            </w:pPr>
            <w:r>
              <w:rPr>
                <w:noProof w:val="0"/>
                <w:lang w:val="es-AR"/>
              </w:rPr>
              <w:t>General</w:t>
            </w:r>
          </w:p>
        </w:tc>
      </w:tr>
    </w:tbl>
    <w:p w14:paraId="61F01B2B" w14:textId="77777777" w:rsidR="00C32E34" w:rsidRPr="00096084" w:rsidRDefault="00C32E34" w:rsidP="00C32E34"/>
    <w:bookmarkEnd w:id="0"/>
    <w:p w14:paraId="24DBB44E" w14:textId="7B2072F8" w:rsidR="00E23080" w:rsidRDefault="00222AEE" w:rsidP="00C32E34">
      <w:proofErr w:type="spellStart"/>
      <w:r>
        <w:t>Thanks</w:t>
      </w:r>
      <w:proofErr w:type="spellEnd"/>
      <w:r>
        <w:t>!</w:t>
      </w:r>
      <w:bookmarkStart w:id="1" w:name="_GoBack"/>
      <w:bookmarkEnd w:id="1"/>
    </w:p>
    <w:sectPr w:rsidR="00E2308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74355" w14:textId="77777777" w:rsidR="00772D8E" w:rsidRDefault="00772D8E">
      <w:pPr>
        <w:spacing w:after="0" w:line="240" w:lineRule="auto"/>
      </w:pPr>
      <w:r>
        <w:separator/>
      </w:r>
    </w:p>
  </w:endnote>
  <w:endnote w:type="continuationSeparator" w:id="0">
    <w:p w14:paraId="295DEC72" w14:textId="77777777" w:rsidR="00772D8E" w:rsidRDefault="00772D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D19E1" w14:textId="77777777" w:rsidR="00982732" w:rsidRDefault="00982732">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4B511" w14:textId="77777777" w:rsidR="00742B7C" w:rsidRDefault="006B63B5" w:rsidP="00C8481C">
    <w:pPr>
      <w:pStyle w:val="Piedepgina"/>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963CB" w14:textId="77777777" w:rsidR="00982732" w:rsidRDefault="00982732">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AD9F75" w14:textId="77777777" w:rsidR="00772D8E" w:rsidRDefault="00772D8E">
      <w:pPr>
        <w:spacing w:after="0" w:line="240" w:lineRule="auto"/>
      </w:pPr>
      <w:r>
        <w:separator/>
      </w:r>
    </w:p>
  </w:footnote>
  <w:footnote w:type="continuationSeparator" w:id="0">
    <w:p w14:paraId="0CE295EF" w14:textId="77777777" w:rsidR="00772D8E" w:rsidRDefault="00772D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81CB0" w14:textId="77777777" w:rsidR="00982732" w:rsidRDefault="00982732">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A9177" w14:textId="57A6F0BC" w:rsidR="00742B7C" w:rsidRDefault="00982732" w:rsidP="00785076">
    <w:pPr>
      <w:pStyle w:val="Encabezado"/>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8C8C8" w14:textId="77777777" w:rsidR="00982732" w:rsidRDefault="00982732">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7C8"/>
    <w:rsid w:val="00010F48"/>
    <w:rsid w:val="0004171C"/>
    <w:rsid w:val="00096084"/>
    <w:rsid w:val="00116259"/>
    <w:rsid w:val="001D5956"/>
    <w:rsid w:val="00222AEE"/>
    <w:rsid w:val="0027163A"/>
    <w:rsid w:val="0029735B"/>
    <w:rsid w:val="002B46B3"/>
    <w:rsid w:val="00336A53"/>
    <w:rsid w:val="003B4DE8"/>
    <w:rsid w:val="00472318"/>
    <w:rsid w:val="004936AB"/>
    <w:rsid w:val="00502332"/>
    <w:rsid w:val="00594C8B"/>
    <w:rsid w:val="005C4A8E"/>
    <w:rsid w:val="00625535"/>
    <w:rsid w:val="006B63B5"/>
    <w:rsid w:val="00717925"/>
    <w:rsid w:val="00772D8E"/>
    <w:rsid w:val="00785076"/>
    <w:rsid w:val="00814892"/>
    <w:rsid w:val="00817C43"/>
    <w:rsid w:val="0083356E"/>
    <w:rsid w:val="00855904"/>
    <w:rsid w:val="00947BA5"/>
    <w:rsid w:val="00955668"/>
    <w:rsid w:val="00970A9B"/>
    <w:rsid w:val="00982732"/>
    <w:rsid w:val="00992EE4"/>
    <w:rsid w:val="009F14F1"/>
    <w:rsid w:val="00A605AA"/>
    <w:rsid w:val="00A6385E"/>
    <w:rsid w:val="00A64FA3"/>
    <w:rsid w:val="00A77A27"/>
    <w:rsid w:val="00A9682A"/>
    <w:rsid w:val="00AD1A1F"/>
    <w:rsid w:val="00B82077"/>
    <w:rsid w:val="00B92973"/>
    <w:rsid w:val="00BA1735"/>
    <w:rsid w:val="00BA77C8"/>
    <w:rsid w:val="00C32E34"/>
    <w:rsid w:val="00C43D38"/>
    <w:rsid w:val="00C76713"/>
    <w:rsid w:val="00CA3D37"/>
    <w:rsid w:val="00CE7801"/>
    <w:rsid w:val="00DE5E31"/>
    <w:rsid w:val="00E21E4E"/>
    <w:rsid w:val="00E23080"/>
    <w:rsid w:val="00E50F91"/>
    <w:rsid w:val="00ED2F8F"/>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3.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4</Pages>
  <Words>1150</Words>
  <Characters>6326</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Florencia Aguiar Vispe</cp:lastModifiedBy>
  <cp:revision>13</cp:revision>
  <dcterms:created xsi:type="dcterms:W3CDTF">2021-03-17T14:57:00Z</dcterms:created>
  <dcterms:modified xsi:type="dcterms:W3CDTF">2021-03-26T14:22:00Z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